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309 vom 2. März 1987</w:t>
      </w:r>
    </w:p>
    <w:p>
      <w:r>
        <w:t>Bundesgericht (BGE), 1987-03-02, DE</w:t>
      </w:r>
    </w:p>
    <w:p>
      <w:r>
        <w:rPr>
          <w:b/>
        </w:rPr>
        <w:t xml:space="preserve">Quelle: </w:t>
      </w:r>
      <w:r>
        <w:t>https://mcp.opencaselaw.ch/entscheid/bge_113 IA 309</w:t>
      </w:r>
    </w:p>
    <w:p>
      <w:r>
        <w:t>FR: BGE 113 IA 309 du 2 mars 1987</w:t>
      </w:r>
    </w:p>
    <w:p>
      <w:r>
        <w:t>IT: BGE 113 IA 309 del 2 marzo 1987</w:t>
      </w:r>
    </w:p>
    <w:p>
      <w:pPr>
        <w:pStyle w:val="Heading2"/>
      </w:pPr>
      <w:r>
        <w:t>Regeste</w:t>
      </w:r>
    </w:p>
    <w:p>
      <w:r>
        <w:t>Regeste Art. 2 ÜbBest. BV; Meinungsäusserungsfreiheit, Pressefreiheit (Art. 55 BV), Informationsfreiheit, Art. 10 EMRK; Gerichtsorganisationsgesetz des Kantons Aargau. 1. Die in § 15 des aargauischen Gerichtsorganisationsgesetzes enthaltenen Bestimmungen über die Gerichtsberichterstattung greifen nicht in die Kompetenz des Bundes zur Regelung des privaten Persönlichkeitsschutzes ein und verletzen daher Art. 2 ÜbBest. BV nicht (E. 3). 2. Meinungsäusserungsfreiheit, Pressefreiheit, Informationsfreiheit und Art. 10 EMRK (E. 4). Diese Garantien werden nicht verletzt - durch die Verpflichtung zu sachlicher Gerichtsberichterstattung und das Verbot unnötiger Blossstellung (E. 5a), - durch die Verpflichtung, eine durch das Gericht formulierte Berichtigung zu veröffentlichen (E. 5b), - durch die Möglichkeit, einen Gerichtsberichterstatter von den Gerichtsverhandlungen auszuschliessen (E. 5c).</w:t>
      </w:r>
    </w:p>
    <w:p>
      <w:pPr>
        <w:pStyle w:val="Heading2"/>
      </w:pPr>
      <w:r>
        <w:t>Erwägungen</w:t>
      </w:r>
    </w:p>
    <w:p>
      <w:r>
        <w:rPr>
          <w:b/>
        </w:rPr>
        <w:t>E. 3</w:t>
      </w:r>
    </w:p>
    <w:p>
      <w:r>
        <w:t>Die Beschwerdeführer rügen vorerst eine Verletzung des Grundsatzes der derogatorischen Kraft des Bundesrechtes und machen damit eine Verletzung von Art. 2 ÜbBest. BV geltend. Zur Begründung führen sie aus, § 15 des Gesetzes über die Organisation der ordentlichen richterlichen Behörden (GOG) diene ausschliesslich dem Persönlichkeitsschutz der Prozessbeteiligten. Der Persönlichkeitsschutz werde indessen durch das Bundeszivilrecht in abschliessender Weise garantiert. Mit § 15 GOG werde daher in unzulässiger Weise in die Bundeskompetenz über das Privatrecht eingegriffen. a) Der angerufene Grundsatz der derogatorischen Kraft des Bundesrechts (Art. 2 ÜbBest. BV) bedeutet, dass die Kantone in Sachgebieten, welche die Bundesgesetzgebung abschliessend geregelt hat, nicht zur Rechtssetzung befugt sind ( BGE 109 Ia 47 E. 3c/aa). Auf entsprechende Rüge hin prüft das Bundesgericht frei, ob die beanstandeten kantonalen Normen mit dem Bundesrecht vereinbar sind ( BGE 111 Ia 179 , BGE 109 Ia 67 E. 2a, BGE 109 Ia 74 E. 3, BGE 109 II 197 E. 1, mit Hinweisen). b) Nach Art. 64 BV steht dem Bund die Gesetzgebung auf dem Gebiete des Zivilrechts zu. Es handelt sich hiebei um eine ausschliessliche Zuständigkeit umfassender Art. Die Kantone dürfen nur soweit zivilrechtliche Bestimmungen erlassen, als das Bundesrecht ausdrücklich oder dem Sinne nach die Geltung kantonalen Rechts vorbehält ( BGE 85 I 20 , mit Hinweisen). Gemäss Art. 6 ZGB werden die öffentlichrechtlichen Befugnisse der Kantone durch das Bundeszivilrecht nicht beschränkt. Die Kantone können im öffentlichen Interesse Vorschriften aufstellen, welche die zivilrechtliche Ordnung ergänzen. Wo die Schranken der expansiven Kraft des öffentlichen Rechts liegen und welche zivilrechtlichen Vorschriften eine abschliessende Ordnung darstellen und Modifikationen durch Bestimmungen des kantonalen öffentlichen Rechts ausschliessen, lässt sich nicht in allgemeiner Form umschreiben. Nach der Rechtsprechung des Bundesgerichts ist der Erlass öffentlichrechtlicher kantonaler Vorschriften jedenfalls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BGE 113 Ia 309 S. 312 Bundeszivilrechts verstossen ( BGE 110 Ia 113 E. 3b, mit Hinweisen). Die Kompetenz der Kantone, ihre Gerichtsorganisation und das Prozessrecht zu ordnen, ergibt sich indessen nicht aus Art. 6 Abs. 1 ZGB , sondern für das Zivilprozessrecht aus Art. 64 Abs. 3 BV und für das Strafprozessrecht aus Art. 64bis Abs. 2 BV (HANS HUBER, Berner Kommentar, Einleitungsband, N. 45 ff. zu Art. 6 ZGB ). Auch diese Vorschriften unterstehen jedoch dem Grundsatz der derogatorischen Kraft des Bundesrechts (HUBER, a.a.O., N. 47). Dabei ist insbesondere die dienende Funktion dieser Vorschriften zu beachten. Das kantonale Recht der Gerichtsorganisation und der Prozessordnung ist darauf ausgerichtet, dem materiellen Recht zum Durchbruch zu verhelfen. Die Kantone sind verpflichtet, eine Ordnung zu schaffen, welche die Anwendung des materiellen Bundesrechts gewährleistet. Namentlich ist ihnen untersagt, die Freiheit des kantonalen Richters in der Anwendung des Bundesrechts durch das kantonale Prozessrecht einzuschränken (vgl. BGE 107 II 122 E. 2a). Unter Beachtung dieser Einschränkungen sind die Kantone in der Ausgestaltung ihres Organisations- und Prozessrechts frei. Sie können insbesondere Normen zur Sicherung eines geordneten Verfahrens erlassen. Dazu gehören auch Bestimmungen über den Ablauf von öffentlichen Gerichtsverhandlungen und über die Gerichtsberichterstattung. Soweit von der Gerichtsberichterstattung negative Auswirkungen auf den geordneten Verfahrensablauf ausgehen können, sind sie befugt, hierüber Bestimmungen zu erlassen und eine allfällige Berichtigung der Berichterstattung vorzusehen. Der angefochtene § 15 GOG hält sich somit im Rahmen des den Kantonen zur Regelung überlassenen Verfahrens ( Art. 64 Abs. 1 und Art. 64bis Abs. 3 BV ) und ist unter diesem Gesichtswinkel nicht zu beanstanden. c) Das aargauische Zivil- und Strafprozessrecht wird - mit Ausnahme der Beratungen - vom Grundsatz der Verhandlungsöffentlichkeit beherrscht (§ 14 GOG). Ausnahmen sind möglich, wenn das öffentliche Interesse oder ein schutzwürdiges Interesse der Prozessbeteiligten dies erfordert (vgl. § 79 Abs. 2 ZPO , § 47 StPO ). Diese Beschränkungen der Öffentlichkeit dienen letztlich dem ordnungsgemässen Gang des Verfahrens und damit der unvoreingenommenen und unbeeinflussten Rechtsfindung. Solche Beschränkungen, wie sie sich allgemein aus der Verfahrensordnung ergeben können oder auf Antrag oder aus sitzungspolizeilichen Gründen angeordnet werden können, haben, soweit sie ihrerseits BGE 113 Ia 309 S. 313 verfassungs- und konventionskonform sind, Vorrang vor dem Öffentlichkeitsgrundsatz und der damit verbundenen Kontrollmöglichkeit der Allgemeinheit. An ihrer Zulässigkeit ändert auch der Umstand nichts, dass diese Beschränkungen neben dem Zweck, eine objektive Rechtsfindung und einen ordnungsgemässen Verfahrensablauf zu garantieren, auch dem Schutz der am Prozess Beteiligten dienen. Die Beschwerdeführer erheben denn in diesem Zusammenhang zu Recht auch keine Rüge. Gleich verhält es sich mit Einschränkungen der Gerichtsberichterstattung. Die Gerichtsberichterstattung ist ein Teil der Verfahrensöffentlichkeit und stellt gewissermassen deren mittelbare Form dar (HANS SCHULTZ, Der Grundsatz der Öffentlichkeit im Strafprozess, in: SJZ 69/1973 S. 131). Die mit der Öffentlichkeit der Gerichtsverhandlungen verbundenen Funktionen werden tatsächlich nicht so sehr durch den einzelnen, im Gerichtssaal anwesenden Bürger, sondern vielmehr durch die Berichterstattung über die Gerichtsverhandlungen insbesondere in der Presse wahrgenommen. Der Journalist wird zum Medium der Transparenz der richterlichen Staatstätigkeit für den Bürger einerseits und deren Kontrolle durch den Bürger anderseits (CARL HANS BRUNSCHWILER, Die dritte Gewalt, Aarau 1971, S. 29). Die Berichterstattung trägt nebst ihrer Publizitätswirkung dazu bei, das Vertrauen des Volkes in die Gesetzlichkeit und Unparteilichkeit der Justiz aufrechtzuerhalten (CARL LUDWIG, Die Verantwortlichkeit des Gerichtsberichterstatters, in: Festgabe zum 70. Geburtstag von Erwin Ruck, 1952, S. 18). Diese Zielsetzungen lassen sich indessen nur verwirklichen, wenn die Gerichtsberichterstattung sich ihrer Verantwortung bewusst ist und objektiv über die Gerichtsverhandlungen orientiert. Dabei ist nicht zu übersehen, dass die Wirkungen der mittelbaren Öffentlichkeit viel weiter reichen als die der unmittelbaren, welche nur wenige Teilnehmer an den Verhandlungen erfasst (SCHULTZ, a.a.O., S. 132). Der Empfänger des Medienberichtes orientiert sich allein an dessen Inhalt über den Gang des Verfahrens; unmittelbare Wahrnehmungen gehen ihm ab. Das Gebot der sachlichen Berichterstattung liegt damit durchaus im Interesse der ordnungsgemässen Rechtspflege. Auch ist augenfällig, dass deren Funktion ohne weiteres beeinträchtigt werden kann, wenn die Prozessbeteiligten (Parteien, zum Beweis angehörte Personen und Gerichtsbehörden) blossgestellt, lächerlich gemacht oder in unwürdiger Art und Weise kritisiert werden. Die Vorschrift in § 15 Abs. 1 GOG, welche zu sachlicher Berichterstattung BGE 113 Ia 309 S. 314 verpflichtet und unnötige Blossstellungen verbietet, liegt damit unmittelbar im Interesse der ordnungsgemässen Rechtspflege. Dem ordnungsgemässen Gang der Rechtspflege dienen auch die Abs. 2 und 3 der angefochtenen Bestimmung. Anlässlich der zweiten Lesung zum Organisationsgesetz wurde die Meinung vertreten, § 15 GOG bezwecke nichts anderes als den verhältnismässigen Persönlichkeitsschutz. Dieser Umstand ändert an der Zielrichtung der angefochtenen Bestimmung nichts. Eine Gesetzesbestimmung ist in erster Linie aus sich selbst, d.h. nach ihrem Wortlaut, Sinn und Zweck sowie nach den ihr zugrundeliegenden Wertungen auszulegen. Die Vorarbeiten sind weder verbindlich noch für die Auslegung unmittelbar entscheidend; denn ein Gesetz entfaltet ein eigenständiges, vom Willen des Gesetzgebers unabhängiges Dasein, sobald es in Kraft getreten ist. Das heisst nicht, die Gesetzesmaterialien seien methodisch unbeachtlich; sie können namentlich dann, wenn eine Bestimmung unklar ist oder verschiedene, sich widersprechende Auslegungen zulässt, ein wertvolles Hilfsmittel sein, den Sinn der Norm zu erkennen ( BGE 112 II 170 E. 2b, 109 Ia 303, mit Hinweisen). Im vorliegenden Fall ist jedoch offensichtlich, dass die der Gerichtsberichterstattung gesetzten Grenzen unmittelbar dem ordnungsgemässen Prozessverlauf dienen, welcher u.a. nur damit erreicht werden kann, dass die Beteiligten nicht unnötig blossgestellt werden. Daran ändert der Umstand nichts, dass die angefochtenen Bestimmungen auch dem Persönlichkeitsschutz der am Prozess Beteiligten zu dienen vermögen. Daraus ergibt sich somit, dass § 15 GOG eine Vorschrift des öffentlichen Rechts zur Sicherung eines geordneten Verfahrens darstellt. Dies trifft sowohl auf die Richtlinien nach § 15 Abs. 1 GOG als auch auf die Sanktionen nach § 15 Abs. 2 und 3 GOG zu. Sie verletzen demnach den Grundsatz der derogatorischen Kraft des Bundesprivatrechts nicht. d) Im übrigen verkennen die Beschwerdeführer die Tragweite des Bundesprivatrechts, wenn sie diesem einen abschliessenden Persönlichkeitsschutz zuzuordnen suchen. Der Schutz der Persönlichkeit ist universelles Anliegen der Rechtsordnung überhaupt. Die Menschenwürde ist nicht nur Schutzobjekt des Privatrechts, sondern der Rechtsordnung schlechthin, und sie manifestiert sich auch in den Grundrechtsverbürgungen der Bundesverfassung (vgl. HANS HUBER, Diskussionsvotum zum Schweizerischen Juristentag 1960, ZSR 79/1960 II S. 667a ff.). Der Persönlichkeitsschutz ist Anliegen des privaten wie des öffentlichen Rechts (vgl. KARL BGE 113 Ia 309 S. 315 OFTINGER, Diskussionsvotum zum Schweizerischen Juristentag 1960, ZSR 79/1960 II S. 658a f.; JÖRG PAUL MÜLLER, Die Grundrechte der Verfassung und der Persönlichkeitsschutz des Privatrechts, Bern 1964, S. 74 ff.). Dies gilt namentlich auch für den Bereich des Prozessrechts. Die Prozessbeteiligten haben bereits aus dem Gebot der Fairness (vgl. PETER SALADIN, Das Verfassungsprinzip der Fairness, in: Erhaltung und Entfaltung des Rechts in der Rechtsprechung des Schweizerischen Bundesgerichts, Basel 1975, S. 41 ff.) Anspruch darauf, im Verfahren ihre Würde garantiert zu erhalten. Dazu dienen nicht bloss die den kantonalen Prozessordnungen und Art. 4 BV entfliessenden Verfahrensgarantien, sondern auch der allgemeine Anspruch darauf, im Verfahren mit der gebotenen Achtung der Persönlichkeit behandelt zu werden. In besonderem Masse gilt dies für den strafrechtlich Beschuldigten. Dient das moderne Strafrecht vorab dem humanen Bestreben nach Wiedergewinnung des Delinquenten für das Leben in der freien Gesellschaft (O.A. GERMANN, Massnahmenrecht des Schweizerischen Strafgesetzbuchs, ZStrR 73/1958 S. 74), ist auch das Prozessrecht mit einer würdigen Behandlung des Beschuldigten diesem Ziel verpflichtet. Die Gefahr einer Verletzung der Menschenwürde und der Persönlichkeitsrechte aber liegt nicht nur in einer unkorrekten Verfahrensabwicklung, sondern ebensosehr in einer unnötig verletzenden oder blossstellenden Gerichtsberichterstattung. Die Berichte über die Gerichtsverhandlungen haben somit die Persönlichkeit der Prozessbeteiligten zu beachten (SCHULTZ, a.a.O., S. 134). Dies sicherzustellen sind auch die kantonalen Prozessrechte berufen. Öffentlichrechtlicher und privatrechtlicher Persönlichkeitsschutz haben in diesem Sinne nebeneinander Bestand. Dass die Ansprüche eines Prozessbeteiligten wegen seine Persönlichkeit verletzenden Gerichtsberichterstattungen sich nach Massgabe des Privatrechts beurteilen und nach Art. 28 ff. ZGB geltend gemacht werden können, schliesst die Befugnis der Kantone nicht aus, den Anliegen der Prozessbeteiligten auch im Rahmen der gerichtspolizeilichen Vorschriften Rechnung zu tragen. Die richtig verstandenen Anliegen einer ordnungsgemässen Rechtspflege, welche auch den Persönlichkeitsschutz der Prozessbeteiligten umfassen, rechtfertigen zusätzliche Einschränkungen des Öffentlichkeitsprinzipes; der Persönlichkeitsschutz des Privatrechts reicht hiezu nicht aus. Zum umfassenden Schutz der Persönlichkeit der Prozessbeteiligten bedarf es daher eines Zusammenwirkens von Privatrecht und Prozessrecht. BGE 113 Ia 309 S. 316 Die unnötige Verletzung oder Blossstellung vom Prozessbeteiligten ist unter keinem Gesichtspunkt zu rechtfertigen. Es reicht nicht aus, den Verletzten auf seine zivilrechtlichen Ansprüche gegen den Täter zu verweisen. Der Staat selbst hat an einer Verletzung teil, wenn er diese während oder im Anschluss an die Verhandlung duldet. So wenig er zulassen darf, dass an der Verhandlung gegen die Prozessbeteiligten von Privaten Gewalttätigkeiten verübt werden, darf er es hinnehmen, dass ihr Persönlichkeitsrecht verletzt wird (MAX GULDENER, Bundesprivatrecht und kantonales Zivilprozessrecht, ZSR 80/1961 II S. 6 und 54 f.). e) Aus all diesen Gründen erweist sich die Rüge, der kantonale Gesetzgeber habe mit der Bestimmung von § 15 GOG in die Kompetenz des Bundes zur Regelung des privaten Persönlichkeitsschutzes eingegriffen und damit Art. 2 ÜbBest. BV verletzt, als unbegründet. Die Beschwerde ist daher in diesem Punkte abzuweisen. f) Die Beschwerdeführer machen unter dem Gesichtswinkel der derogatorischen Kraft des Bundesrechts nicht geltend, die angefochtenen Bestimmungen stünden, soweit sie sich auf Radio und Fernsehen beziehen, mit dem Bundesrecht in Widerspruch. Diese Frage braucht daher im vorliegenden Fall nicht geprüft zu werden (vgl. BGE 112 Ia 407 E. 5).</w:t>
      </w:r>
    </w:p>
    <w:p>
      <w:r>
        <w:rPr>
          <w:b/>
        </w:rPr>
        <w:t>E. 4</w:t>
      </w:r>
    </w:p>
    <w:p>
      <w:r>
        <w:t>a) Die Beschwerdeführer machen weiter geltend, § 15 GOG verletze in verschiedener Hinsicht geschriebene und ungeschriebene Verfassungsrechte sowie Garantien der Europäischen Menschenrechtskonvention. Sie berufen sich insbesondere auf Art. 55 BV , die Meinungsäusserungsfreiheit und Art. 10 EMRK sowie auf die Informationsfreiheit und den Grundsatz der Öffentlichkeit gerichtlicher Verhandlungen. b) Die Bundesverfassung garantiert in Art. 55 BV ausdrücklich die Pressefreiheit und gewährt dem Bürger damit das Recht, seine Meinung mit den Mitteln der Druckerpresse in der Öffentlichkeit zu verbreiten ( BGE 107 Ia 49 E. 3, 279 f.; vgl. BGE 96 I 588 E. 3). Die Meinungsäusserungsfreiheit wird als ungeschriebenes Verfassungsrecht des Bundes anerkannt. Es gewährleistet das Recht des Bürgers, seine Meinung frei zu bilden und zu äussern und sie andern bekanntzugeben ( BGE 108 Ia 175 ; BGE 107 Ia 65 , 229 E. b, 236, 279; BGE 105 Ia 182 ). In der umfassend verstandenen Meinungsäusserungsfreiheit ist die ausdrücklich garantierte Pressefreiheit als Teilgehalt enthalten und stellt insofern einen besondern Anwendungsfall derselben dar ( BGE 107 Ia 49 E. 3, 280; BGE 98 Ia 421 E. 2a; BGE 96 I 592 E. 6; ZBl 85/1984 S. 310). BGE 113 Ia 309 S. 317 Aus der Meinungsäusserungs- und Pressefreiheit ergibt sich die Informationsfreiheit, d.h. das Recht, Nachrichten und Meinungen ohne Eingriffe der Behörden frei zu empfangen und sich aus allgemein zugänglichen Quellen aktiv zu unterrichten ( BGE 107 Ia 305 f., 236 E. 2; BGE 105 Ia 182 ; BGE 104 Ia 91 E. 4 und 5, 378 E. 2; ZBl 83/1982 S. 222 E. d). Die Informationsfreiheit enthält nach der Rechtsprechung keine generelle Pflicht der Behörden zur Unterrichtung über Angelegenheiten der Verwaltung und räumt dem Bürger keinen positiven Anspruch auf Information ein; das Bundesgericht hat die Informationsfreiheit nicht als ungeschriebenes eigenständiges Verfassungsrecht anerkannt ( BGE 107 Ia 305 f.; BGE 104 Ia 91 E. 4 und 5). Soweit die Behörden aber informieren und Auskunft erteilen, sind sie an das Rechtsgleichheitsgebot und an das Willkürverbot gebunden ( BGE 104 Ia 97 , 378; ZBl 83/1982 S. 39 E. 3a und S. 222). Ferner garantiert Art. 10 Ziff. 1 EMRK u.a. die Freiheit der Meinungsäusserung ( BGE 108 Ia 277 , 318 E. 2). Diese Konventionsgarantie entspricht in bezug auf die Äusserung und Weitergabe von Meinungen und in bezug auf die Möglichkeit, sich aus allgemein zugänglichen Quellen aktiv zu informieren, dem geschriebenen und ungeschriebenen Bundesverfassungsrecht ( BGE 108 Ia 175 , 277 E. b, 318 E. 2a; ZBl 83/1982 S. 222 E. d; vgl. aber JOCHEN ABR. FROWEIN/ WOLFGANG PEUKERT, EMRK-Kommentar, Kehl/Strassburg/Arlington 1985, N. 13 zu Art. 10; JOCHEN ABR. FROWEIN, Artikel 10 EMRK in der Praxis von Kommission und Gerichtshof, in: Archiv für Presserecht 17/1986 S. 198); besondere Bedeutung kommt in diesem Zusammenhang den Schranken nach Art. 10 Ziff. 2 EMRK zu. Die erhobenen Rügen sind demnach unter den Gesichtspunkten der Pressefreiheit, der Meinungsäusserungsfreiheit und von Art. 10 EMRK sowie der daraus fliessenden Informationsfreiheit gemeinsam zu behandeln (vgl. BGE 104 Ia 91 f.). Die Meinungsäusserungsfreiheit und die Pressefreiheit gelten wie andere Freiheitsrechte nicht unbegrenzt. Einschränkungen sind zulässig, sofern sie auf einer genügenden gesetzlichen Grundlage beruhen, im öffentlichen Interesse liegen und verhältnismässig sind ( BGE 107 Ia 49 f.; BGE 104 Ia 103 ; BGE 98 Ia 63 E. 7; BGE 96 I 589 E. 4); Einschränkungen von Art. 10 Ziff. 1 EMRK sind nach Massgabe von Ziff. 2 zulässig (Urteil des Europäischen Gerichtshofes für Menschenrechte vom 8. Juli 1986 i.S. Lingens, Ziff. 39 ff., Publications de la Cour européenne des droits de l'homme, Série A Nr. 103, in deutscher Übersetzung in: EuGRZ 1986 S. 424 ff.). Bei BGE 113 Ia 309 S. 318 der Beurteilung der Äusserungsmöglichkeiten und der Informationsfreiheit ist der Bedeutung dieser Grundrechte für die Entfaltung des Einzelnen sowie für die Meinungsbildung und -äusserung in einem demokratischen Rechtsstaat Rechnung zu tragen, soweit die Meinungsäusserungsfreiheit im Vordergrund steht ( BGE 107 Ia 279 , BGE 96 I 592 E. 6; ZBl 85/1984 S. 310 E. 2a). In bezug auf die Pressefreiheit ist die spezielle Funktion der Presse zu beachten, die als Vermittlerin von Informationen über das Gemeinwesen zur öffentlichen Meinungsbildung und damit zur öffentlichen Kontrolle beiträgt ( BGE 104 Ia 379 E. a; ZBl 85/1984 S. 311 E. a; erwähntes Urteil des Europäischen Gerichtshofes i.S. Lingens, Ziff. 41; JÖRG PAUL MÜLLER/STEFAN MÜLLER, Grundrechte - Besonderer Teil, Bern 1984, S. 108 und S. 112 f.); dies trifft für die Berichterstattung über Regierungs- und Verwaltungstätigkeit ebenso wie über das Gerichtswesen zu (vgl. JÖRG PAUL MÜLLER, Gibt es eine Medienfreiheit?, in: recht 1983 S. 12 f.). c) Die Beschwerdeführer berufen sich ferner auf den Grundsatz der Öffentlichkeit von Gerichtsverhandlungen. Die Öffentlichkeit der Verhandlungen der Gerichte ist nach § 72 KV sowie nach Art. 6 Ziff. 1 EMRK garantiert. Dieser Grundsatz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die Rechtspflege ausgeführt wird. Durch die Öffentlichkeit wird es der Allgemeinheit ermöglicht, die Prozesse unmittelbar zu verfolgen. Die rechtsstaatliche und demokratische Bedeutung des Grundsatzes der Öffentlichkeit verbietet einen Ausschluss dort, wo nicht überwiegende Gründe der staatlichen Sicherheit, öffentlichen Ordnung und Sittlichkeit oder schützenswerte Interessen Privater das vordringlich gebieten (vgl. BGE 111 Ia 245 , BGE 108 Ia 92 , mit Hinweisen; SCHULTZ, a.a.O., S. 129 ff.). In diesem Sinne sehen auch § 72 KV und Art. 6 Ziff. 1 EMRK Ausnahmen vom Grundsatz der Öffentlichkeit vor. Solche generelle Ausnahmen stehen im vorliegenden Fall nicht zur Diskussion. Es fragt sich, ob die Beschwerdeführer, welche die Interessen der Journalisten vertreten, befugt sind, sich auf den Grundsatz der Öffentlichkeit der Gerichtsverhandlungen zu berufen. Diese Frage braucht indessen nicht näher geprüft zu werden. Entscheidend ist, dass im Grundsatz die Öffentlichkeit der Gerichtsverhandlungen BGE 113 Ia 309 S. 319 gewährleistet ist und dass demnach diese Verhandlungen eine allgemein zugängliche Informationsquelle darstellen, aus der sich der Einzelne sowie der Journalist aufgrund der Informationsfreiheit grundsätzlich ohne Eingriffe der Behörden unterrichten kann (vgl. MARCEL GUIGNARD, Die Gerichtsberichterstattung, in: Festschrift für den Aargauischen Juristenverein, Aarau 1986, S. 53 f.). Die Rüge der Verletzung des Grundsatzes der Öffentlichkeit der Gerichtsverhandlungen kommt daher im vorliegenden Fall keine selbständige Bedeutung zu; sie ist vielmehr im Zusammenhang mit der Rüge der Verletzung der Meinungsäusserungs- und Pressefreiheit und von Art. 10 EMRK und der daraus abgeleiteten Informationsfreiheit zu behandeln (vgl. BGE 105 Ia 182 f.). d) Die Beschwerdeführer machen in materieller Hinsicht keine Verletzung von Art. 55bis BV geltend. Es braucht daher nicht untersucht zu werden, inwiefern die in § 15 GOG enthaltenen Berichterstattungsrichtlinien und Sanktionen für Radio und Fernsehen vor der Verfassung standhalten (vgl. Urteil vom 17. Oktober 1980, in: ZBl 83/1982 S. 219 ff.). e) Im folgenden sind die erhobenen Rügen in bezug auf die in § 15 GOG enthaltenen Absätze und Bestimmungen einzeln zu prüfen.</w:t>
      </w:r>
    </w:p>
    <w:p>
      <w:r>
        <w:rPr>
          <w:b/>
        </w:rPr>
        <w:t>E. 5</w:t>
      </w:r>
    </w:p>
    <w:p>
      <w:r>
        <w:t>a) Die angefochtene Bestimmung von § 15 Abs. 1 GOG verlangt, dass die Gerichtsberichterstattung sachlich sein müsse und niemanden unnötig blossstellen dürfe. Sie enthält damit eine Anweisung, wie die Berichterstattung auszugestalten ist; Verstösse dagegen können die Folgen nach § 15 Abs. 2 und Abs. 3 GOG nach sich ziehen. Insofern stellt die Bestimmung einen Eingriff in die Meinungsäusserungs- und Pressefreiheit dar. Es ist daher zu prüfen, ob dieser Eingriff im öffentlichen Interesse liegt und verhältnismässig ist und somit vor den Verfassungs- und Konventionsgarantien standhält. Für die Beurteilung dieser Frage ist davon auszugehen, dass zwischen Information und Meinungsäusserung unterschieden werden kann (vgl. BGE 107 Ia 315 f.; erwähntes Urteil des Europäischen Gerichtshofes i.S. Lingens, Ziff. 45 f.). Die Berichterstattung über Gerichtsverhandlungen ist zum einen Information, d.h. Wiedergabe von Tatsachen, wie sie im Gerichtssaal stattgefunden haben. Wie oben dargelegt, kann der Bürger aufgrund der Öffentlichkeit der Gerichtsverhandlungen unmittelbar und mittels der Gerichtsberichterstattung in den Massenmedien mittelbar davon Kenntnis erhalten, wie das Recht verwaltet und die Rechtspflege BGE 113 Ia 309 S. 320 ausgeführt wird (vgl. BGE 111 Ia 245 , BGE 108 Ia 92 ). Der Bürger nimmt insbesondere aufgrund von Presseberichten teil an der Rechtsprechung und kann eine gewisse Kontrolle ausüben. Diese Funktion kann indessen nur erfüllt werden, soweit die Berichterstattung wahrheitsgetreu und sachlich erfolgt. Die richtige Orientierung der Öffentlichkeit ist allgemein eine wesentliche Grundlage des Funktionierens des demokratischen Staatswesens und steht mit der Pressefreiheit nicht in Widerspruch ( BGE 107 Ia 316 ; vgl. JÖRG PAUL MÜLLER, Zur Bedeutung der Pressefreiheit beim privat- und strafrechtlichen Ehrenschutz, in: ZSR 86/1967 I S. 140 ff.). Das gilt auch für die Berichterstattung über das Gerichtswesen. Eine unsachliche und wahrheitswidrige Berichterstattung beeinträchtigt sodann das Vertrauen in die Justiz und kann den ordnungsgemässen Gang der Rechtspflege beeinträchtigen. Im Rahmen der abstrakten Normkontrolle braucht nicht umschrieben zu werden, was genau als sachliche bzw. als objektive Berichterstattung zu verstehen ist; als Richtlinie ist sie verfassungsrechtlich nicht zu beanstanden ( BGE 107 Ia 316 ; ZBl 83/1982 S. 225 und 226). Die Verpflichtung zu sachlicher Berichterstattung im Sinne einer objektiven Information über Gerichtsverhandlungen steht damit in einem überwiegenden öffentlichen Interesse und erweist sich wegen der geringen Tragweite des Eingriffs in die Verfassungs- und Konventionsgarantien als verhältnismässig. Das gleiche gilt für das Verbot, mit der Gerichtsberichterstattung niemanden unnötig blosszustellen. Die Meinungsäusserungs- und die Pressefreiheit sind unter Respektierung der Freiheitsrechte von Drittpersonen auszuüben ( BGE 107 Ia 229 E. b, mit Hinweisen). Diese Freiheitsrechte geben keinen Anspruch darauf, Prozessbeteiligte unnötig blosszustellen und damit deren Persönlichkeitsrechte zu verletzen. Wie alle Freiheitsrechte finden auch sie ihre Grenze an der schützenswerten Rechtssphäre der andern. Das Anwachsen des Medienangebotes hat daher dem Gedanken des Schutzes der Individualität und der Würde des Einzelnen im Rahmen des auch öffentlichrechtlich gebotenen Persönlichkeitsschutzes erhöhte Aktualität verliehen (JÖRG PAUL MÜLLER, Zur Bedeutung der Pressefreiheit beim privat- und strafrechtlichen Ehrenschutz, a.a.O., S. 115 ff.; JÖRG PAUL MÜLLER/STEFAN MÜLLER, a.a.O., S. 92). Darüber hinaus vermag die unnötige Blossstellung von den an einem Gerichtsverfahren beteiligten Personen den ordentlichen Gang der Rechtspflege zu beeinträchtigen. Die Bestimmung von § 15 Abs. 1 GOG liegt damit auch in dieser Hinsicht BGE 113 Ia 309 S. 321 im überwiegenden öffentlichen Interesse und kann nicht als unverhältnismässig bezeichnet werden. Soweit die Gerichtsberichterstattung aber Meinungsäusserungen über das Gerichtsverfahren und die Rechtspflege enthält, schliesst die Bestimmung von § 15 Abs. 1 GOG bei verfassungskonformer Auslegung Kritik an der Rechtspflege nicht aus. Es gehört vielmehr zu den Grundanliegen der Meinungsäusserungs- und der Pressefreiheit in einem demokratischen Rechtsstaat, dass solche Kritik publik gemacht werden kann, auch wenn sie in der Sache selbst scharf ausfällt. Auch solche Kritik soll aber im Ton sachlich bleiben, denn das öffentliche Interesse an der Information verlangt nicht, dass sie sich im Ton vergreift. Objektivität und Sachlichkeit in der Ausdrucksweise sind die Voraussetzung dafür, dass die Rechtspflege ihren ordnungsgemässen Gang, frei von sachfremden Einflüssen, nehmen kann. Werden die Justizorgane öffentlich mit masslosen und unqualifizierten Vorwürfen angegriffen, besteht insbesondere die Gefahr, dass die in der Streitsache mitwirkenden Organe einerseits die notwendige innere Distanz zum Streitgegenstand verlieren und dass sie anderseits nicht mehr unbefangen zu urteilen vermögen. Mit den Erfordernissen einer unabhängigen Rechtspflege ist eine solche Situation klarerweise unvereinbar, und es wird die Gefahr geschaffen, das Ansehen der gesamten Rechtsprechung herabzusetzen ( BGE 108 Ia 320 f., 106 Ia 108 f.). § 15 Abs. 1 GOG ist mithin auch unter dem Blickwinkel der Meinungsäusserungs- und der Pressefreiheit einer verfassungskonformen Auslegung durchaus zugänglich. Sollte sich aus der konkreten Rechtsanwendung eine Verletzung dieser Grundrechte ergeben, steht den Betroffenen hiegegen die staatsrechtliche Beschwerde mit inzidenter Normenkontrolle und einem Schutz vor verfassungs- und konventionswidriger Rechtsanwendung zur Verfügung. b) Die Beschwerdeführer erachten ferner die Bestimmung von § 15 Abs. 2 GOG, wonach die Massenmedien eine vom zuständigen Gericht angeordnete und formulierte Berichtigung ihrer Berichterstattung zu veröffentlichen haben, als verfassungs- und konventionswidrig. Eine solche Pflicht, Berichtigungen zu veröffentlichen, greift grundsätzlich in den Freiheitsbereich der Meinungsäusserungs- und der Pressefreiheit ein. Zu prüfen ist demnach, inwieweit hierfür ein überwiegendes öffentliches Interesse gegeben sei und ob eine solche Pflicht verhältnismässig sei. BGE 113 Ia 309 S. 322 Wendet man die vorstehend dargelegten Grundsätze über die Bedeutung einer im objektivierbaren Bereich sachlichen Gerichtsberichterstattung sinngemäss auch auf diesen Punkt an, so lässt sich nicht beanstanden, dass das Gesetz insoweit eine Berichtigungspflicht statuiert. Soweit sich eine unsachliche oder blossstellende Gerichtsberichterstattung oder eine unsachlich gehaltene Kritik negativ auf die in einem demokratischen Rechtsstaat notwendige Information des Bürgers auswirkt und zudem den ordnungsgemässen Gang der Justiz beeinträchtigt, ist es verfassungsrechtlich nicht zu beanstanden, dass die Presse zu einer Berichtigungsveröffentlichung angehalten wird. Hierfür besteht ein überwiegendes öffentliches Interesse, und die Pflicht zur Aufnahme einer Berichtigung erweist sich als angemessenes Mittel. Ein Organ der Presse, welches sich weigern würde, eine offensichtlich falsche Tatsachendarstellung oder eine unsachliche und unnötig verletzende Gerichtsberichterstattung zu berichtigen, verstiesse zugleich gegen ein sittliches Gebot und gegen seine Pflicht als Mittler zwischen Behörde und Öffentlichkeit. Indessen ist eine einschränkende Auslegung der Bestimmung am Platze. Ist eine Darstellung nicht offensichtlich unsachlich, sondern ist der fragliche Vorgang auch einer differenzierten Betrachtungsweise zugänglich, so kann keine Berichtigung im strengen Sinne des Wortes, sondern allenfalls höchstens eine Gegendarstellung gefordert werden. Mit einer solchen nimmt die Gerichtsverwaltung nicht für sich in Anspruch, allein die Wahrheit zu vertreten, sondern sie überlässt die Meinungsbildung der Öffentlichkeit ( BGE 107 Ia 317 ). Nach der im vorliegenden Verfahren abgegebenen Vernehmlassung des Regierungsrates ist nicht beabsichtigt, § 15 Abs. 2 GOG in Missachtung dieser Beschränkungen auszulegen und anzuwenden. Wie oben dargelegt, stünde bei zu extensiver Auslegung von § 15 Abs. 2 GOG im Einzelfall immer noch die staatsrechtliche Beschwerde offen. Die angefochtene Bestimmung kann daher im abstrakten Normkontrollverfahren nicht als verfassungs- oder konventionswidrig bezeichnet werden. c) Nach § 15 Abs. 3 GOG können Gerichtsberichterstatter, die gegen die für die Berichterstattung aufgestellten Regeln verstossen, durch Entscheid des Obergerichts von den öffentlichen Verhandlungen der Gerichte des Kantons ausgeschlossen werden. Auch darin erblicken die Beschwerdeführer eine Verletzung der Meinungsäusserungs- und der Pressefreiheit sowie der Informationsfreiheit. BGE 113 Ia 309 S. 323 Für die Beurteilung dieser Rüge ist zum einen davon auszugehen, dass die regelmässigen Gerichtsberichterstatter aufgrund eines Akkreditierungssystems oder einer faktischen Akkreditierung eine Sonderstellung einnehmen. Sie verfügen oftmals über Sonderrechte und erhalten zusätzliche Informationen über Gerichtstermine und einzelne Verfahren sowie für das Verständnis einzelner Prozessverfahren notwendige Unterlagen (vgl. GUIGNARD, a.a.O., S. 58 f.). Diese medienfreundliche Behandlung der Gerichtsberichterstatter ist nicht nur nach der Praxis der meisten Kantone verbreitet, sondern ausdrücklich auch in Art. 25 des Reglementes für das Schweizerische Bundesgericht (SR 173.111.1) normiert. Das Korrelat zur Gewährung einer derartigen Sonderstellung besteht dabei regelmässig in der Möglichkeit von deren Entzug, sofern von der Akkreditierung im geschilderten Sinne missbräuchlich Gebrauch gemacht wird (vgl. SCHULTZ, a.a.O., S. 134 f.). Berichterstatter, welche in grober Weise die ihnen auferlegten sittlichen und rechtlichen Pflichten verletzen, dürfen ohne Beeinträchtigung der Meinungsäusserungs- und der Pressefreiheit im Interesse der Anliegen einer sachgerechten Rechtspflege dieser Privilegien verlustig erklärt werden. Darin kann keine Verletzung der Meinungsäusserungs- und Pressefreiheit sowie der Informationsfreiheit erblickt werden (vgl. GUIGNARD, a.a.O., S. 72 f.). Die angefochtene Bestimmung ist in dieser Hinsicht auch unter dem Gesichtswinkel der nach Art. 4 BV garantierten Rechtsgleichheit nicht zu beanstanden. Der Wortlaut von § 15 Abs. 3 GOG lässt es zu, dass ein Gerichtsberichterstatter unbedingt von allen Verhandlungen der Gerichte ausgeschlossen werden könnte. Damit würde er alle Rechte verlieren, die sich einerseits aus der Informationsfreiheit und andererseits aus dem Grundsatz der Öffentlichkeit der Gerichtsverhandlungen ergeben. Eine solche Auslegung hielte vor der Verfassung und der Konvention nicht stand. Die angefochtene Bestimmung lässt sich indessen auch verfassungs- und konventionsmässig auslegen. Als schwerwiegende Sanktion wird sich der Ausschluss eines Gerichtsberichterstatters von den öffentlichen Verhandlungen nur in echten Ausnahmefällen und bei wiederholten und schweren Verstössen gegen die Berufspflichten rechtfertigen lassen. Ein Ausschluss kann weiter nur insofern verfügt werden, als er die Stellung eines Berichterstatters betrifft. Es wäre indessen unzulässig, einen Gerichtsberichterstatter auch als Teil des zum Verfahren zugelassenen Publikums, d.h. bei einem Verzicht BGE 113 Ia 309 S. 324 auf eine Berichterstattung, von den Verhandlungen auszuschliessen. Ein solcher Ausschluss müsste zudem dem Grundsatz der Verhältnismässigkeit genügen. Vorbehalten bleiben die Fälle, in denen die Öffentlichkeit in einem Verfahren gänzlich ausgeschlossen wird. Nach der Vernehmlassung des Kantons ist nicht damit zu rechnen, dass § 15 Abs. 3 GOG unter Missachtung der erwähnten Schranken angewendet wird. Es darf auch beachtet werden, dass ein Ausschluss nicht von jedem Gericht, sondern lediglich vom Obergericht verfügt werden darf. Das Obergericht bietet Gewähr dafür, dass ein Ausschluss eines Gerichtsberichterstatters unter Abwägung der zugrundeliegenden Interessen und insbesondere unter Beachtung des Grundsatzes der Verhältnismässigkeit und des Gleichheitsgebotes erfolgt (vgl. BGE 109 Ia 303 ; Urteil vom 10. Juli 1986 i.S. B. E. 3b, in: EuGRZ 1986 S. 650). Zudem steht dem Betroffenen im Einzelfall die staatsrechtliche Beschwerde offen. Bei dieser Sachlage zeigt sich, dass die Bestimmung von § 15 Abs. 3 GOG einer verfassungs- und konventionskonformen Auslegung zugänglich und die Wahrscheinlichkeit einer solchen zulässigen Auslegung im Einzelfall gegeben ist. Demnach rechtfertigt sich die Aufhebung der angefochtenen Bestimmung im Verfahren der abstrakten Normenkontrolle nicht.</w:t>
      </w:r>
    </w:p>
    <w:p>
      <w:r>
        <w:rPr>
          <w:b/>
        </w:rPr>
        <w:t>E. 6</w:t>
      </w:r>
    </w:p>
    <w:p>
      <w:r>
        <w:t>Aus all diesen Gründen hält die angefochtene Bestimmung von § 15 GOG im Rahmen der vorgetragenen Rügen der abstrakten Normenkontrolle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